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67" w:rsidRPr="00171667" w:rsidRDefault="00171667" w:rsidP="00171667">
      <w:pPr>
        <w:ind w:firstLine="0"/>
      </w:pPr>
    </w:p>
    <w:p w:rsidR="00171667" w:rsidRPr="00171667" w:rsidRDefault="00171667" w:rsidP="00171667">
      <w:pPr>
        <w:ind w:firstLine="0"/>
        <w:jc w:val="center"/>
      </w:pPr>
    </w:p>
    <w:p w:rsidR="00171667" w:rsidRPr="00171667" w:rsidRDefault="00171667" w:rsidP="00171667">
      <w:pPr>
        <w:ind w:firstLine="0"/>
        <w:jc w:val="center"/>
        <w:rPr>
          <w:b/>
        </w:rPr>
      </w:pPr>
      <w:r w:rsidRPr="00171667">
        <w:rPr>
          <w:b/>
        </w:rPr>
        <w:t>Категории сложности объектов оценки</w:t>
      </w:r>
    </w:p>
    <w:p w:rsidR="00171667" w:rsidRPr="00171667" w:rsidRDefault="00171667" w:rsidP="00171667">
      <w:pPr>
        <w:ind w:firstLine="0"/>
        <w:jc w:val="center"/>
        <w:rPr>
          <w:b/>
        </w:rPr>
      </w:pPr>
      <w:r w:rsidRPr="00171667">
        <w:rPr>
          <w:b/>
        </w:rPr>
        <w:t>(сложности оценочных работ)</w:t>
      </w:r>
    </w:p>
    <w:p w:rsidR="00171667" w:rsidRPr="00171667" w:rsidRDefault="00171667" w:rsidP="00171667">
      <w:pPr>
        <w:ind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1378"/>
        <w:gridCol w:w="6298"/>
      </w:tblGrid>
      <w:tr w:rsidR="00171667" w:rsidRPr="00171667" w:rsidTr="00D2686D">
        <w:tc>
          <w:tcPr>
            <w:tcW w:w="990" w:type="pct"/>
            <w:shd w:val="clear" w:color="auto" w:fill="auto"/>
          </w:tcPr>
          <w:p w:rsidR="00171667" w:rsidRPr="00171667" w:rsidRDefault="00171667" w:rsidP="00171667">
            <w:pPr>
              <w:ind w:firstLine="0"/>
            </w:pPr>
            <w:r w:rsidRPr="00171667">
              <w:t>Направления оценки</w:t>
            </w:r>
          </w:p>
        </w:tc>
        <w:tc>
          <w:tcPr>
            <w:tcW w:w="720" w:type="pct"/>
            <w:shd w:val="clear" w:color="auto" w:fill="auto"/>
          </w:tcPr>
          <w:p w:rsidR="00171667" w:rsidRPr="00171667" w:rsidRDefault="00171667" w:rsidP="00171667">
            <w:pPr>
              <w:ind w:firstLine="0"/>
            </w:pPr>
            <w:r w:rsidRPr="00171667">
              <w:t>Категория</w:t>
            </w:r>
          </w:p>
          <w:p w:rsidR="00171667" w:rsidRPr="00171667" w:rsidRDefault="00171667" w:rsidP="00171667">
            <w:pPr>
              <w:ind w:firstLine="0"/>
            </w:pPr>
            <w:r w:rsidRPr="00171667">
              <w:t>сложности</w:t>
            </w:r>
          </w:p>
        </w:tc>
        <w:tc>
          <w:tcPr>
            <w:tcW w:w="3291" w:type="pct"/>
            <w:shd w:val="clear" w:color="auto" w:fill="auto"/>
          </w:tcPr>
          <w:p w:rsidR="00171667" w:rsidRPr="00171667" w:rsidRDefault="00171667" w:rsidP="00171667">
            <w:pPr>
              <w:ind w:firstLine="0"/>
            </w:pPr>
            <w:r w:rsidRPr="00171667">
              <w:t>Описание объектов оценки, соответствующих категории сложности</w:t>
            </w:r>
          </w:p>
        </w:tc>
      </w:tr>
      <w:tr w:rsidR="00171667" w:rsidRPr="00171667" w:rsidTr="00D2686D">
        <w:tc>
          <w:tcPr>
            <w:tcW w:w="990" w:type="pct"/>
            <w:vMerge w:val="restart"/>
            <w:shd w:val="clear" w:color="auto" w:fill="auto"/>
          </w:tcPr>
          <w:p w:rsidR="00171667" w:rsidRPr="00171667" w:rsidRDefault="00171667" w:rsidP="00171667">
            <w:pPr>
              <w:ind w:firstLine="0"/>
            </w:pPr>
            <w:r w:rsidRPr="00171667">
              <w:t>Недвижимость</w:t>
            </w:r>
          </w:p>
        </w:tc>
        <w:tc>
          <w:tcPr>
            <w:tcW w:w="720" w:type="pct"/>
            <w:shd w:val="clear" w:color="auto" w:fill="auto"/>
          </w:tcPr>
          <w:p w:rsidR="00171667" w:rsidRPr="00171667" w:rsidRDefault="00171667" w:rsidP="00171667">
            <w:pPr>
              <w:ind w:firstLine="0"/>
            </w:pPr>
            <w:r w:rsidRPr="00171667">
              <w:t>1</w:t>
            </w:r>
          </w:p>
        </w:tc>
        <w:tc>
          <w:tcPr>
            <w:tcW w:w="3291" w:type="pct"/>
            <w:shd w:val="clear" w:color="auto" w:fill="auto"/>
          </w:tcPr>
          <w:p w:rsidR="00171667" w:rsidRPr="00171667" w:rsidRDefault="00171667" w:rsidP="00171667">
            <w:pPr>
              <w:ind w:firstLine="0"/>
            </w:pPr>
            <w:r w:rsidRPr="00171667">
              <w:t>Однородные типовые объекты недвижимости: квартиры, загородные дома, земельные участки, в том числе, при наличии обременений; определение рыночного уровня ставки арендной платы.</w:t>
            </w:r>
          </w:p>
        </w:tc>
      </w:tr>
      <w:tr w:rsidR="00171667" w:rsidRPr="00171667" w:rsidTr="00D2686D">
        <w:tc>
          <w:tcPr>
            <w:tcW w:w="990" w:type="pct"/>
            <w:vMerge/>
            <w:shd w:val="clear" w:color="auto" w:fill="auto"/>
          </w:tcPr>
          <w:p w:rsidR="00171667" w:rsidRPr="00171667" w:rsidRDefault="00171667" w:rsidP="00171667">
            <w:pPr>
              <w:ind w:firstLine="0"/>
            </w:pPr>
          </w:p>
        </w:tc>
        <w:tc>
          <w:tcPr>
            <w:tcW w:w="720" w:type="pct"/>
            <w:shd w:val="clear" w:color="auto" w:fill="auto"/>
          </w:tcPr>
          <w:p w:rsidR="00171667" w:rsidRPr="00171667" w:rsidRDefault="00171667" w:rsidP="00171667">
            <w:pPr>
              <w:ind w:firstLine="0"/>
            </w:pPr>
            <w:r w:rsidRPr="00171667">
              <w:t>2</w:t>
            </w:r>
          </w:p>
        </w:tc>
        <w:tc>
          <w:tcPr>
            <w:tcW w:w="3291" w:type="pct"/>
            <w:shd w:val="clear" w:color="auto" w:fill="auto"/>
          </w:tcPr>
          <w:p w:rsidR="00171667" w:rsidRPr="00171667" w:rsidRDefault="00171667" w:rsidP="00171667">
            <w:pPr>
              <w:ind w:firstLine="0"/>
            </w:pPr>
            <w:r w:rsidRPr="00171667">
              <w:t>Объекты коммерческой недвижимости, в составе которых присутствуют помещения различного назначения (офисные, торговые, производственно-складские и т. д), в том числе, при наличии обременений.</w:t>
            </w:r>
          </w:p>
        </w:tc>
      </w:tr>
      <w:tr w:rsidR="00171667" w:rsidRPr="00171667" w:rsidTr="00D2686D">
        <w:trPr>
          <w:trHeight w:val="1605"/>
        </w:trPr>
        <w:tc>
          <w:tcPr>
            <w:tcW w:w="990" w:type="pct"/>
            <w:vMerge/>
            <w:shd w:val="clear" w:color="auto" w:fill="auto"/>
          </w:tcPr>
          <w:p w:rsidR="00171667" w:rsidRPr="00171667" w:rsidRDefault="00171667" w:rsidP="00171667">
            <w:pPr>
              <w:ind w:firstLine="0"/>
            </w:pPr>
          </w:p>
        </w:tc>
        <w:tc>
          <w:tcPr>
            <w:tcW w:w="720" w:type="pct"/>
            <w:shd w:val="clear" w:color="auto" w:fill="auto"/>
          </w:tcPr>
          <w:p w:rsidR="00171667" w:rsidRPr="00171667" w:rsidRDefault="00171667" w:rsidP="00171667">
            <w:pPr>
              <w:ind w:firstLine="0"/>
            </w:pPr>
            <w:r w:rsidRPr="00171667">
              <w:t>3</w:t>
            </w:r>
          </w:p>
        </w:tc>
        <w:tc>
          <w:tcPr>
            <w:tcW w:w="3291" w:type="pct"/>
            <w:shd w:val="clear" w:color="auto" w:fill="auto"/>
          </w:tcPr>
          <w:p w:rsidR="00171667" w:rsidRPr="00171667" w:rsidRDefault="00171667" w:rsidP="00171667">
            <w:pPr>
              <w:ind w:firstLine="0"/>
            </w:pPr>
            <w:r w:rsidRPr="00171667">
              <w:t>Совокупность объектов недвижимости, имеющих различное назначение и/или местоположение, в том числе, при наличии обременений. Имущественные комплексы, в составе которых находя</w:t>
            </w:r>
            <w:bookmarkStart w:id="0" w:name="_GoBack"/>
            <w:bookmarkEnd w:id="0"/>
            <w:r w:rsidRPr="00171667">
              <w:t>тся различные по назначению и состоянию объекты недвижимости разного типа, в том числе, при наличии обременений.</w:t>
            </w:r>
          </w:p>
        </w:tc>
      </w:tr>
      <w:tr w:rsidR="00171667" w:rsidRPr="00171667" w:rsidTr="00D2686D">
        <w:tc>
          <w:tcPr>
            <w:tcW w:w="990" w:type="pct"/>
            <w:vMerge w:val="restart"/>
            <w:shd w:val="clear" w:color="auto" w:fill="auto"/>
          </w:tcPr>
          <w:p w:rsidR="00171667" w:rsidRPr="00171667" w:rsidRDefault="00171667" w:rsidP="00171667">
            <w:pPr>
              <w:ind w:firstLine="0"/>
            </w:pPr>
            <w:r w:rsidRPr="00171667">
              <w:t>Машины, оборудование и транспортные средства</w:t>
            </w:r>
          </w:p>
        </w:tc>
        <w:tc>
          <w:tcPr>
            <w:tcW w:w="720" w:type="pct"/>
            <w:shd w:val="clear" w:color="auto" w:fill="auto"/>
          </w:tcPr>
          <w:p w:rsidR="00171667" w:rsidRPr="00171667" w:rsidRDefault="00171667" w:rsidP="00171667">
            <w:pPr>
              <w:ind w:firstLine="0"/>
            </w:pPr>
            <w:r w:rsidRPr="00171667">
              <w:t>1</w:t>
            </w:r>
          </w:p>
        </w:tc>
        <w:tc>
          <w:tcPr>
            <w:tcW w:w="3291" w:type="pct"/>
            <w:shd w:val="clear" w:color="auto" w:fill="auto"/>
          </w:tcPr>
          <w:p w:rsidR="00171667" w:rsidRPr="00171667" w:rsidRDefault="00171667" w:rsidP="00171667">
            <w:pPr>
              <w:ind w:firstLine="0"/>
            </w:pPr>
            <w:r w:rsidRPr="00171667">
              <w:t>Единичные типовые объекты машин, оборудования и транспортных средств; хозяйственного инвентаря; ювелирные изделия массового производства</w:t>
            </w:r>
          </w:p>
        </w:tc>
      </w:tr>
      <w:tr w:rsidR="00171667" w:rsidRPr="00171667" w:rsidTr="00D2686D">
        <w:tc>
          <w:tcPr>
            <w:tcW w:w="990" w:type="pct"/>
            <w:vMerge/>
            <w:shd w:val="clear" w:color="auto" w:fill="auto"/>
          </w:tcPr>
          <w:p w:rsidR="00171667" w:rsidRPr="00171667" w:rsidRDefault="00171667" w:rsidP="00171667">
            <w:pPr>
              <w:ind w:firstLine="0"/>
            </w:pPr>
          </w:p>
        </w:tc>
        <w:tc>
          <w:tcPr>
            <w:tcW w:w="720" w:type="pct"/>
            <w:shd w:val="clear" w:color="auto" w:fill="auto"/>
          </w:tcPr>
          <w:p w:rsidR="00171667" w:rsidRPr="00171667" w:rsidRDefault="00171667" w:rsidP="00171667">
            <w:pPr>
              <w:ind w:firstLine="0"/>
            </w:pPr>
            <w:r w:rsidRPr="00171667">
              <w:t>2</w:t>
            </w:r>
          </w:p>
        </w:tc>
        <w:tc>
          <w:tcPr>
            <w:tcW w:w="3291" w:type="pct"/>
            <w:shd w:val="clear" w:color="auto" w:fill="auto"/>
          </w:tcPr>
          <w:p w:rsidR="00171667" w:rsidRPr="00171667" w:rsidRDefault="00171667" w:rsidP="00171667">
            <w:pPr>
              <w:ind w:firstLine="0"/>
            </w:pPr>
            <w:r w:rsidRPr="00171667">
              <w:t>Совокупности взаимосвязанных между собой объектов машин и оборудования.</w:t>
            </w:r>
          </w:p>
        </w:tc>
      </w:tr>
      <w:tr w:rsidR="00171667" w:rsidRPr="00171667" w:rsidTr="00D2686D">
        <w:trPr>
          <w:trHeight w:val="1122"/>
        </w:trPr>
        <w:tc>
          <w:tcPr>
            <w:tcW w:w="990" w:type="pct"/>
            <w:vMerge/>
            <w:shd w:val="clear" w:color="auto" w:fill="auto"/>
          </w:tcPr>
          <w:p w:rsidR="00171667" w:rsidRPr="00171667" w:rsidRDefault="00171667" w:rsidP="00171667">
            <w:pPr>
              <w:ind w:firstLine="0"/>
            </w:pPr>
          </w:p>
        </w:tc>
        <w:tc>
          <w:tcPr>
            <w:tcW w:w="720" w:type="pct"/>
            <w:shd w:val="clear" w:color="auto" w:fill="auto"/>
          </w:tcPr>
          <w:p w:rsidR="00171667" w:rsidRPr="00171667" w:rsidRDefault="00171667" w:rsidP="00171667">
            <w:pPr>
              <w:ind w:firstLine="0"/>
            </w:pPr>
            <w:r w:rsidRPr="00171667">
              <w:t>3</w:t>
            </w:r>
          </w:p>
        </w:tc>
        <w:tc>
          <w:tcPr>
            <w:tcW w:w="3291" w:type="pct"/>
            <w:shd w:val="clear" w:color="auto" w:fill="auto"/>
          </w:tcPr>
          <w:p w:rsidR="00171667" w:rsidRPr="00171667" w:rsidRDefault="00171667" w:rsidP="00171667">
            <w:pPr>
              <w:ind w:firstLine="0"/>
            </w:pPr>
            <w:r w:rsidRPr="00171667">
              <w:t xml:space="preserve">Технологические линии, предназначенные для выпуска полуфабрикатов или конечной продукции. </w:t>
            </w:r>
          </w:p>
          <w:p w:rsidR="00171667" w:rsidRPr="00171667" w:rsidRDefault="00171667" w:rsidP="00171667">
            <w:pPr>
              <w:ind w:firstLine="0"/>
            </w:pPr>
            <w:r w:rsidRPr="00171667">
              <w:t>Уникальные, существующие в единичном или ограниченном количестве, объекты машин и оборудования.</w:t>
            </w:r>
          </w:p>
        </w:tc>
      </w:tr>
      <w:tr w:rsidR="00171667" w:rsidRPr="00171667" w:rsidTr="00D2686D">
        <w:tc>
          <w:tcPr>
            <w:tcW w:w="990" w:type="pct"/>
            <w:vMerge w:val="restart"/>
            <w:shd w:val="clear" w:color="auto" w:fill="auto"/>
          </w:tcPr>
          <w:p w:rsidR="00171667" w:rsidRPr="00171667" w:rsidRDefault="00171667" w:rsidP="00171667">
            <w:pPr>
              <w:ind w:firstLine="0"/>
            </w:pPr>
            <w:r w:rsidRPr="00171667">
              <w:t>Нематериальные активы и интеллектуальная собственность</w:t>
            </w:r>
          </w:p>
        </w:tc>
        <w:tc>
          <w:tcPr>
            <w:tcW w:w="720" w:type="pct"/>
            <w:shd w:val="clear" w:color="auto" w:fill="auto"/>
          </w:tcPr>
          <w:p w:rsidR="00171667" w:rsidRPr="00171667" w:rsidRDefault="00171667" w:rsidP="00171667">
            <w:pPr>
              <w:ind w:firstLine="0"/>
            </w:pPr>
            <w:r w:rsidRPr="00171667">
              <w:t>1</w:t>
            </w:r>
          </w:p>
        </w:tc>
        <w:tc>
          <w:tcPr>
            <w:tcW w:w="3291" w:type="pct"/>
            <w:shd w:val="clear" w:color="auto" w:fill="auto"/>
          </w:tcPr>
          <w:p w:rsidR="00171667" w:rsidRPr="00171667" w:rsidRDefault="00171667" w:rsidP="00171667">
            <w:pPr>
              <w:ind w:firstLine="0"/>
            </w:pPr>
            <w:r w:rsidRPr="00171667">
              <w:t>Идентифицируемые нематериальные активы - объекты интеллектуальной собственности, имеющие государственные охранные документы.</w:t>
            </w:r>
          </w:p>
        </w:tc>
      </w:tr>
      <w:tr w:rsidR="00171667" w:rsidRPr="00171667" w:rsidTr="00D2686D">
        <w:tc>
          <w:tcPr>
            <w:tcW w:w="990" w:type="pct"/>
            <w:vMerge/>
            <w:shd w:val="clear" w:color="auto" w:fill="auto"/>
          </w:tcPr>
          <w:p w:rsidR="00171667" w:rsidRPr="00171667" w:rsidRDefault="00171667" w:rsidP="00171667">
            <w:pPr>
              <w:ind w:firstLine="0"/>
            </w:pPr>
          </w:p>
        </w:tc>
        <w:tc>
          <w:tcPr>
            <w:tcW w:w="720" w:type="pct"/>
            <w:shd w:val="clear" w:color="auto" w:fill="auto"/>
          </w:tcPr>
          <w:p w:rsidR="00171667" w:rsidRPr="00171667" w:rsidRDefault="00171667" w:rsidP="00171667">
            <w:pPr>
              <w:ind w:firstLine="0"/>
            </w:pPr>
            <w:r w:rsidRPr="00171667">
              <w:t>2</w:t>
            </w:r>
          </w:p>
        </w:tc>
        <w:tc>
          <w:tcPr>
            <w:tcW w:w="3291" w:type="pct"/>
            <w:shd w:val="clear" w:color="auto" w:fill="auto"/>
          </w:tcPr>
          <w:p w:rsidR="00171667" w:rsidRPr="00171667" w:rsidRDefault="00171667" w:rsidP="00171667">
            <w:pPr>
              <w:ind w:firstLine="0"/>
            </w:pPr>
            <w:r w:rsidRPr="00171667">
              <w:t>Ноу-хау, права на результаты научно-технической деятельности.</w:t>
            </w:r>
          </w:p>
        </w:tc>
      </w:tr>
      <w:tr w:rsidR="00171667" w:rsidRPr="00171667" w:rsidTr="00D2686D">
        <w:trPr>
          <w:trHeight w:val="1656"/>
        </w:trPr>
        <w:tc>
          <w:tcPr>
            <w:tcW w:w="990" w:type="pct"/>
            <w:vMerge/>
            <w:shd w:val="clear" w:color="auto" w:fill="auto"/>
          </w:tcPr>
          <w:p w:rsidR="00171667" w:rsidRPr="00171667" w:rsidRDefault="00171667" w:rsidP="00171667">
            <w:pPr>
              <w:ind w:firstLine="0"/>
            </w:pPr>
          </w:p>
        </w:tc>
        <w:tc>
          <w:tcPr>
            <w:tcW w:w="720" w:type="pct"/>
            <w:shd w:val="clear" w:color="auto" w:fill="auto"/>
          </w:tcPr>
          <w:p w:rsidR="00171667" w:rsidRPr="00171667" w:rsidRDefault="00171667" w:rsidP="00171667">
            <w:pPr>
              <w:ind w:firstLine="0"/>
            </w:pPr>
            <w:r w:rsidRPr="00171667">
              <w:t>3</w:t>
            </w:r>
          </w:p>
        </w:tc>
        <w:tc>
          <w:tcPr>
            <w:tcW w:w="3291" w:type="pct"/>
            <w:shd w:val="clear" w:color="auto" w:fill="auto"/>
          </w:tcPr>
          <w:p w:rsidR="00171667" w:rsidRPr="00171667" w:rsidRDefault="00171667" w:rsidP="00171667">
            <w:pPr>
              <w:ind w:firstLine="0"/>
            </w:pPr>
            <w:r w:rsidRPr="00171667">
              <w:t>Неидентифицируемые нематериальные активы, права на которые могут быть переуступлены только в результате переуступки прав на бизнес. Единые технологии, представляющие собой совокупность объектов интеллектуальной собственности с различным уровнем правовой защиты.</w:t>
            </w:r>
          </w:p>
        </w:tc>
      </w:tr>
      <w:tr w:rsidR="00171667" w:rsidRPr="00171667" w:rsidTr="00D2686D">
        <w:tc>
          <w:tcPr>
            <w:tcW w:w="990" w:type="pct"/>
            <w:vMerge w:val="restart"/>
            <w:shd w:val="clear" w:color="auto" w:fill="auto"/>
          </w:tcPr>
          <w:p w:rsidR="00171667" w:rsidRPr="00171667" w:rsidRDefault="00171667" w:rsidP="00171667">
            <w:pPr>
              <w:ind w:firstLine="0"/>
            </w:pPr>
            <w:r w:rsidRPr="00171667">
              <w:t>Действующие предприятия (бизнес); ценные бумаги предприятий.</w:t>
            </w:r>
          </w:p>
        </w:tc>
        <w:tc>
          <w:tcPr>
            <w:tcW w:w="720" w:type="pct"/>
            <w:shd w:val="clear" w:color="auto" w:fill="auto"/>
          </w:tcPr>
          <w:p w:rsidR="00171667" w:rsidRPr="00171667" w:rsidRDefault="00171667" w:rsidP="00171667">
            <w:pPr>
              <w:ind w:firstLine="0"/>
            </w:pPr>
            <w:r w:rsidRPr="00171667">
              <w:t>1</w:t>
            </w:r>
          </w:p>
        </w:tc>
        <w:tc>
          <w:tcPr>
            <w:tcW w:w="3291" w:type="pct"/>
            <w:shd w:val="clear" w:color="auto" w:fill="auto"/>
          </w:tcPr>
          <w:p w:rsidR="00171667" w:rsidRPr="00171667" w:rsidRDefault="00171667" w:rsidP="00171667">
            <w:pPr>
              <w:ind w:firstLine="0"/>
            </w:pPr>
            <w:r w:rsidRPr="00171667">
              <w:t>Действующие предприятия местного или регионального значения, имеющие единственный вид деятельности.</w:t>
            </w:r>
          </w:p>
        </w:tc>
      </w:tr>
      <w:tr w:rsidR="00171667" w:rsidRPr="00171667" w:rsidTr="00D2686D">
        <w:tc>
          <w:tcPr>
            <w:tcW w:w="990" w:type="pct"/>
            <w:vMerge/>
            <w:shd w:val="clear" w:color="auto" w:fill="auto"/>
          </w:tcPr>
          <w:p w:rsidR="00171667" w:rsidRPr="00171667" w:rsidRDefault="00171667" w:rsidP="00171667">
            <w:pPr>
              <w:ind w:firstLine="0"/>
            </w:pPr>
          </w:p>
        </w:tc>
        <w:tc>
          <w:tcPr>
            <w:tcW w:w="720" w:type="pct"/>
            <w:shd w:val="clear" w:color="auto" w:fill="auto"/>
          </w:tcPr>
          <w:p w:rsidR="00171667" w:rsidRPr="00171667" w:rsidRDefault="00171667" w:rsidP="00171667">
            <w:pPr>
              <w:ind w:firstLine="0"/>
            </w:pPr>
            <w:r w:rsidRPr="00171667">
              <w:t>2</w:t>
            </w:r>
          </w:p>
        </w:tc>
        <w:tc>
          <w:tcPr>
            <w:tcW w:w="3291" w:type="pct"/>
            <w:shd w:val="clear" w:color="auto" w:fill="auto"/>
          </w:tcPr>
          <w:p w:rsidR="00171667" w:rsidRPr="00171667" w:rsidRDefault="00171667" w:rsidP="00171667">
            <w:pPr>
              <w:ind w:firstLine="0"/>
            </w:pPr>
            <w:r w:rsidRPr="00171667">
              <w:t>Действующие предприятия межрегионального или федерального значения. Предприятия, имеющие диверсифицированный характер бизнеса.</w:t>
            </w:r>
          </w:p>
        </w:tc>
      </w:tr>
      <w:tr w:rsidR="00171667" w:rsidRPr="00171667" w:rsidTr="00D2686D">
        <w:trPr>
          <w:trHeight w:val="1390"/>
        </w:trPr>
        <w:tc>
          <w:tcPr>
            <w:tcW w:w="990" w:type="pct"/>
            <w:vMerge/>
            <w:shd w:val="clear" w:color="auto" w:fill="auto"/>
          </w:tcPr>
          <w:p w:rsidR="00171667" w:rsidRPr="00171667" w:rsidRDefault="00171667" w:rsidP="00171667">
            <w:pPr>
              <w:ind w:firstLine="0"/>
            </w:pPr>
          </w:p>
        </w:tc>
        <w:tc>
          <w:tcPr>
            <w:tcW w:w="720" w:type="pct"/>
            <w:shd w:val="clear" w:color="auto" w:fill="auto"/>
          </w:tcPr>
          <w:p w:rsidR="00171667" w:rsidRPr="00171667" w:rsidRDefault="00171667" w:rsidP="00171667">
            <w:pPr>
              <w:ind w:firstLine="0"/>
            </w:pPr>
            <w:r w:rsidRPr="00171667">
              <w:t>3</w:t>
            </w:r>
          </w:p>
        </w:tc>
        <w:tc>
          <w:tcPr>
            <w:tcW w:w="3291" w:type="pct"/>
            <w:shd w:val="clear" w:color="auto" w:fill="auto"/>
          </w:tcPr>
          <w:p w:rsidR="00171667" w:rsidRPr="00171667" w:rsidRDefault="00171667" w:rsidP="00171667">
            <w:pPr>
              <w:ind w:firstLine="0"/>
            </w:pPr>
            <w:r w:rsidRPr="00171667">
              <w:t>Финансово-кредитные учреждения, страховые компании, управляющие компании. Холдинги, группы компаний, в том числе, с перекрестным владением входящими в их состав хозяйствующими субъектами. Транснациональные компании.</w:t>
            </w:r>
          </w:p>
        </w:tc>
      </w:tr>
    </w:tbl>
    <w:p w:rsidR="000855EB" w:rsidRDefault="000855EB" w:rsidP="00171667">
      <w:pPr>
        <w:ind w:firstLine="0"/>
      </w:pPr>
    </w:p>
    <w:sectPr w:rsidR="000855EB" w:rsidSect="001716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7"/>
    <w:rsid w:val="000855EB"/>
    <w:rsid w:val="001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МРО</dc:creator>
  <cp:lastModifiedBy>МРО</cp:lastModifiedBy>
  <cp:revision>1</cp:revision>
  <dcterms:created xsi:type="dcterms:W3CDTF">2013-08-26T11:57:00Z</dcterms:created>
  <dcterms:modified xsi:type="dcterms:W3CDTF">2013-08-26T11:59:00Z</dcterms:modified>
</cp:coreProperties>
</file>